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4F4FD" w14:textId="0470954D" w:rsidR="002B4DE8" w:rsidRPr="00355108" w:rsidRDefault="002B4DE8" w:rsidP="002B4DE8">
      <w:pPr>
        <w:pStyle w:val="CRCoverPage"/>
        <w:tabs>
          <w:tab w:val="right" w:pos="9639"/>
        </w:tabs>
        <w:spacing w:after="0"/>
        <w:rPr>
          <w:b/>
          <w:i/>
          <w:noProof/>
          <w:sz w:val="28"/>
        </w:rPr>
      </w:pPr>
      <w:r w:rsidRPr="00355108">
        <w:rPr>
          <w:b/>
          <w:noProof/>
          <w:sz w:val="24"/>
        </w:rPr>
        <w:t>3GPP TSG-WG SA2 Meeting #16</w:t>
      </w:r>
      <w:r>
        <w:rPr>
          <w:b/>
          <w:noProof/>
          <w:sz w:val="24"/>
        </w:rPr>
        <w:t>6Ad Hoc-e</w:t>
      </w:r>
      <w:r w:rsidRPr="00355108">
        <w:rPr>
          <w:b/>
          <w:i/>
          <w:noProof/>
          <w:sz w:val="28"/>
        </w:rPr>
        <w:tab/>
      </w:r>
      <w:r w:rsidRPr="00F5729B">
        <w:rPr>
          <w:rFonts w:eastAsiaTheme="minorEastAsia"/>
          <w:b/>
          <w:i/>
          <w:noProof/>
          <w:sz w:val="28"/>
        </w:rPr>
        <w:t>S2-250</w:t>
      </w:r>
      <w:r w:rsidR="00E515A4">
        <w:rPr>
          <w:rFonts w:eastAsiaTheme="minorEastAsia"/>
          <w:b/>
          <w:i/>
          <w:noProof/>
          <w:sz w:val="28"/>
        </w:rPr>
        <w:t>091</w:t>
      </w:r>
      <w:r w:rsidR="00993CAE">
        <w:rPr>
          <w:rFonts w:eastAsiaTheme="minorEastAsia"/>
          <w:b/>
          <w:i/>
          <w:noProof/>
          <w:sz w:val="28"/>
        </w:rPr>
        <w:t>3</w:t>
      </w:r>
    </w:p>
    <w:p w14:paraId="02A76761" w14:textId="022B8233" w:rsidR="002B4DE8" w:rsidRPr="00355108" w:rsidRDefault="002B4DE8" w:rsidP="002B4DE8">
      <w:pPr>
        <w:pStyle w:val="CRCoverPage"/>
        <w:tabs>
          <w:tab w:val="right" w:pos="5103"/>
          <w:tab w:val="right" w:pos="9639"/>
        </w:tabs>
        <w:outlineLvl w:val="0"/>
        <w:rPr>
          <w:b/>
          <w:noProof/>
          <w:sz w:val="24"/>
        </w:rPr>
      </w:pPr>
      <w:r>
        <w:rPr>
          <w:b/>
          <w:noProof/>
          <w:sz w:val="24"/>
        </w:rPr>
        <w:t>Online</w:t>
      </w:r>
      <w:r w:rsidRPr="00355108">
        <w:rPr>
          <w:b/>
          <w:noProof/>
          <w:sz w:val="24"/>
        </w:rPr>
        <w:t xml:space="preserve">, </w:t>
      </w:r>
      <w:r>
        <w:rPr>
          <w:b/>
          <w:noProof/>
          <w:sz w:val="24"/>
        </w:rPr>
        <w:t>20</w:t>
      </w:r>
      <w:r w:rsidRPr="00355108">
        <w:rPr>
          <w:b/>
          <w:noProof/>
          <w:sz w:val="24"/>
          <w:vertAlign w:val="superscript"/>
        </w:rPr>
        <w:t>th</w:t>
      </w:r>
      <w:r w:rsidRPr="00355108">
        <w:rPr>
          <w:b/>
          <w:noProof/>
          <w:sz w:val="24"/>
        </w:rPr>
        <w:t xml:space="preserve"> </w:t>
      </w:r>
      <w:r>
        <w:rPr>
          <w:b/>
          <w:noProof/>
          <w:sz w:val="24"/>
        </w:rPr>
        <w:t>Jan</w:t>
      </w:r>
      <w:r w:rsidRPr="00355108">
        <w:rPr>
          <w:b/>
          <w:noProof/>
          <w:sz w:val="24"/>
        </w:rPr>
        <w:t xml:space="preserve"> – 2</w:t>
      </w:r>
      <w:r>
        <w:rPr>
          <w:b/>
          <w:noProof/>
          <w:sz w:val="24"/>
        </w:rPr>
        <w:t>4</w:t>
      </w:r>
      <w:r>
        <w:rPr>
          <w:b/>
          <w:noProof/>
          <w:sz w:val="24"/>
          <w:vertAlign w:val="superscript"/>
        </w:rPr>
        <w:t>th</w:t>
      </w:r>
      <w:r w:rsidRPr="00355108">
        <w:rPr>
          <w:b/>
          <w:noProof/>
          <w:sz w:val="24"/>
        </w:rPr>
        <w:t xml:space="preserve"> </w:t>
      </w:r>
      <w:r>
        <w:rPr>
          <w:b/>
          <w:noProof/>
          <w:sz w:val="24"/>
        </w:rPr>
        <w:t>Jan</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 xml:space="preserve">(revision of </w:t>
      </w:r>
      <w:r>
        <w:rPr>
          <w:rFonts w:cs="Arial"/>
          <w:b/>
          <w:bCs/>
          <w:color w:val="0000FF"/>
        </w:rPr>
        <w:t>S2-2410</w:t>
      </w:r>
      <w:r w:rsidRPr="0032368E">
        <w:rPr>
          <w:rFonts w:cs="Arial"/>
          <w:b/>
          <w:bCs/>
          <w:color w:val="0000FF"/>
        </w:rPr>
        <w:t>33</w:t>
      </w:r>
      <w:r w:rsidR="00993CAE">
        <w:rPr>
          <w:rFonts w:cs="Arial"/>
          <w:b/>
          <w:bCs/>
          <w:color w:val="0000FF"/>
        </w:rPr>
        <w:t>3</w:t>
      </w:r>
      <w:r>
        <w:rPr>
          <w:rFonts w:cs="Arial"/>
          <w:b/>
          <w:bCs/>
          <w:color w:val="0000FF"/>
        </w:rPr>
        <w:t xml:space="preserve">, </w:t>
      </w:r>
      <w:r w:rsidRPr="00F73B27">
        <w:rPr>
          <w:rFonts w:cs="Arial"/>
          <w:b/>
          <w:bCs/>
          <w:color w:val="0000FF"/>
        </w:rPr>
        <w:t>883</w:t>
      </w:r>
      <w:r w:rsidR="00993CAE">
        <w:rPr>
          <w:rFonts w:cs="Arial"/>
          <w:b/>
          <w:bCs/>
          <w:color w:val="0000FF"/>
        </w:rPr>
        <w:t>4</w:t>
      </w:r>
      <w:r>
        <w:rPr>
          <w:rFonts w:cs="Arial"/>
          <w:b/>
          <w:bCs/>
          <w:color w:val="0000FF"/>
        </w:rPr>
        <w:t xml:space="preserve">, </w:t>
      </w:r>
      <w:r w:rsidRPr="000D1394">
        <w:rPr>
          <w:rFonts w:cs="Arial"/>
          <w:b/>
          <w:bCs/>
          <w:color w:val="0000FF"/>
        </w:rPr>
        <w:t>847</w:t>
      </w:r>
      <w:r w:rsidR="00993CAE">
        <w:rPr>
          <w:rFonts w:cs="Arial"/>
          <w:b/>
          <w:bCs/>
          <w:color w:val="0000FF"/>
        </w:rPr>
        <w:t>4</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35818976" w:rsidR="001E41F3" w:rsidRPr="00A97E00" w:rsidRDefault="00A97E00" w:rsidP="00547111">
            <w:pPr>
              <w:pStyle w:val="CRCoverPage"/>
              <w:spacing w:after="0"/>
              <w:rPr>
                <w:noProof/>
              </w:rPr>
            </w:pPr>
            <w:r w:rsidRPr="00A97E00">
              <w:rPr>
                <w:b/>
                <w:noProof/>
                <w:sz w:val="28"/>
              </w:rPr>
              <w:t>558</w:t>
            </w:r>
            <w:r w:rsidR="00993CAE">
              <w:rPr>
                <w:b/>
                <w:noProof/>
                <w:sz w:val="28"/>
              </w:rPr>
              <w:t>8</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58857338" w:rsidR="001E41F3" w:rsidRPr="00A97E00" w:rsidRDefault="00993CAE" w:rsidP="00E13F3D">
            <w:pPr>
              <w:pStyle w:val="CRCoverPage"/>
              <w:spacing w:after="0"/>
              <w:jc w:val="center"/>
              <w:rPr>
                <w:b/>
                <w:noProof/>
              </w:rPr>
            </w:pPr>
            <w:r>
              <w:rPr>
                <w:b/>
                <w:noProof/>
                <w:sz w:val="28"/>
              </w:rPr>
              <w:t>3</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684FC33E" w:rsidR="001E41F3" w:rsidRPr="00A97E00" w:rsidRDefault="000B7FC2">
            <w:pPr>
              <w:pStyle w:val="CRCoverPage"/>
              <w:spacing w:after="0"/>
              <w:jc w:val="center"/>
              <w:rPr>
                <w:noProof/>
                <w:sz w:val="28"/>
              </w:rPr>
            </w:pPr>
            <w:r w:rsidRPr="00A97E00">
              <w:rPr>
                <w:b/>
                <w:noProof/>
                <w:sz w:val="28"/>
              </w:rPr>
              <w:t>1</w:t>
            </w:r>
            <w:r w:rsidR="00993CAE">
              <w:rPr>
                <w:b/>
                <w:noProof/>
                <w:sz w:val="28"/>
              </w:rPr>
              <w:t>9</w:t>
            </w:r>
            <w:r w:rsidRPr="00A97E00">
              <w:rPr>
                <w:b/>
                <w:noProof/>
                <w:sz w:val="28"/>
              </w:rPr>
              <w:t>.</w:t>
            </w:r>
            <w:r w:rsidR="00993CAE">
              <w:rPr>
                <w:b/>
                <w:noProof/>
                <w:sz w:val="28"/>
              </w:rPr>
              <w:t>2</w:t>
            </w:r>
            <w:r w:rsidR="00624647" w:rsidRPr="00A97E00">
              <w:rPr>
                <w:b/>
                <w:noProof/>
                <w:sz w:val="28"/>
              </w:rPr>
              <w:t>.</w:t>
            </w:r>
            <w:r w:rsidR="00993CAE">
              <w:rPr>
                <w:b/>
                <w:noProof/>
                <w:sz w:val="28"/>
              </w:rPr>
              <w:t>1</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0" w:name="_Hlt497126619"/>
              <w:r w:rsidRPr="00A97E00">
                <w:rPr>
                  <w:rStyle w:val="Hyperlink"/>
                  <w:rFonts w:cs="Arial"/>
                  <w:b/>
                  <w:i/>
                  <w:noProof/>
                  <w:color w:val="FF0000"/>
                </w:rPr>
                <w:t>L</w:t>
              </w:r>
              <w:bookmarkEnd w:id="0"/>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55EF5E20" w:rsidR="001E41F3" w:rsidRPr="00A97E00" w:rsidRDefault="00357A44">
            <w:pPr>
              <w:pStyle w:val="CRCoverPage"/>
              <w:spacing w:after="0"/>
              <w:ind w:left="100"/>
              <w:rPr>
                <w:noProof/>
              </w:rPr>
            </w:pPr>
            <w:r w:rsidRPr="00A97E00">
              <w:rPr>
                <w:noProof/>
              </w:rPr>
              <w:t>202</w:t>
            </w:r>
            <w:r w:rsidR="002B4DE8">
              <w:rPr>
                <w:noProof/>
              </w:rPr>
              <w:t>5</w:t>
            </w:r>
            <w:r w:rsidRPr="00A97E00">
              <w:rPr>
                <w:noProof/>
              </w:rPr>
              <w:t>-</w:t>
            </w:r>
            <w:r w:rsidR="002B4DE8">
              <w:rPr>
                <w:noProof/>
              </w:rPr>
              <w:t>0</w:t>
            </w:r>
            <w:r w:rsidR="00865898">
              <w:rPr>
                <w:noProof/>
              </w:rPr>
              <w:t>1</w:t>
            </w:r>
            <w:r w:rsidRPr="00A97E00">
              <w:rPr>
                <w:noProof/>
              </w:rPr>
              <w:t>-</w:t>
            </w:r>
            <w:r w:rsidR="000124DC">
              <w:rPr>
                <w:noProof/>
              </w:rPr>
              <w:t>1</w:t>
            </w:r>
            <w:r w:rsidR="002B4DE8">
              <w:rPr>
                <w:noProof/>
              </w:rPr>
              <w:t>4</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468D2E95" w:rsidR="001E41F3" w:rsidRPr="00A97E00" w:rsidRDefault="00993C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2181F240" w:rsidR="001E41F3" w:rsidRDefault="00CA6447">
            <w:pPr>
              <w:pStyle w:val="CRCoverPage"/>
              <w:spacing w:after="0"/>
              <w:ind w:left="100"/>
              <w:rPr>
                <w:noProof/>
              </w:rPr>
            </w:pPr>
            <w:r w:rsidRPr="00A97E00">
              <w:t>Rel-1</w:t>
            </w:r>
            <w:r w:rsidR="00993C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D51AA" w14:textId="7047F045" w:rsidR="00E23691" w:rsidRDefault="00E23691" w:rsidP="00E23691">
            <w:pPr>
              <w:pStyle w:val="CRCoverPage"/>
              <w:spacing w:after="0"/>
              <w:ind w:left="100"/>
            </w:pPr>
            <w:r w:rsidRPr="00E23691">
              <w:t xml:space="preserve">MDBV (for </w:t>
            </w:r>
            <w:r w:rsidR="00AD686D">
              <w:t>delay-critical GBR resource type</w:t>
            </w:r>
            <w:r w:rsidRPr="00E23691">
              <w:t xml:space="preserve">) </w:t>
            </w:r>
            <w:r w:rsidR="00406333">
              <w:t>was introduced</w:t>
            </w:r>
            <w:r w:rsidRPr="00E23691">
              <w:t xml:space="preserve"> with the assumption that the </w:t>
            </w:r>
            <w:r w:rsidR="00406333" w:rsidRPr="00E23691">
              <w:t xml:space="preserve">periodicity of </w:t>
            </w:r>
            <w:r w:rsidR="00406333">
              <w:t xml:space="preserve">data </w:t>
            </w:r>
            <w:r w:rsidR="00406333" w:rsidRPr="00E23691">
              <w:t>burst arrivals</w:t>
            </w:r>
            <w:r w:rsidR="00406333">
              <w:t xml:space="preserve"> is considerably larger than the </w:t>
            </w:r>
            <w:r w:rsidRPr="00E23691">
              <w:t>PDB.</w:t>
            </w:r>
            <w:r w:rsidR="00406333">
              <w:t xml:space="preserve"> With XRM service, the typical periodicity became much shorter</w:t>
            </w:r>
            <w:r w:rsidRPr="00E23691">
              <w:t xml:space="preserve"> </w:t>
            </w:r>
            <w:r w:rsidR="00406333">
              <w:t>(</w:t>
            </w:r>
            <w:proofErr w:type="gramStart"/>
            <w:r w:rsidR="00406333">
              <w:t>i.e.</w:t>
            </w:r>
            <w:proofErr w:type="gramEnd"/>
            <w:r w:rsidR="00406333">
              <w:t xml:space="preserve"> in the range of 8ms to 33ms for video services with 120 to 30 frames per second). It is therefore </w:t>
            </w:r>
            <w:r w:rsidR="00036EB2">
              <w:t>likely</w:t>
            </w:r>
            <w:r w:rsidR="00406333">
              <w:t>, that the</w:t>
            </w:r>
            <w:r w:rsidR="00036EB2">
              <w:t xml:space="preserve"> periodicity is in the same range as the PDB. </w:t>
            </w:r>
            <w:r w:rsidRPr="00E23691">
              <w:t xml:space="preserve">As an example, consider </w:t>
            </w:r>
            <w:r>
              <w:t xml:space="preserve">a service with a PDB of </w:t>
            </w:r>
            <w:r w:rsidR="00036EB2">
              <w:t>10</w:t>
            </w:r>
            <w:r w:rsidRPr="00E23691">
              <w:t xml:space="preserve"> </w:t>
            </w:r>
            <w:proofErr w:type="spellStart"/>
            <w:r w:rsidRPr="00E23691">
              <w:t>ms</w:t>
            </w:r>
            <w:proofErr w:type="spellEnd"/>
            <w:r w:rsidRPr="00E23691">
              <w:t xml:space="preserve"> </w:t>
            </w:r>
            <w:r w:rsidR="00036EB2">
              <w:t>and a</w:t>
            </w:r>
            <w:r w:rsidRPr="00E23691">
              <w:t xml:space="preserve"> periodicity </w:t>
            </w:r>
            <w:r w:rsidR="00AD686D">
              <w:t xml:space="preserve">of </w:t>
            </w:r>
            <w:r w:rsidR="00036EB2">
              <w:t>8</w:t>
            </w:r>
            <w:r w:rsidR="00AD686D">
              <w:t xml:space="preserve"> </w:t>
            </w:r>
            <w:proofErr w:type="spellStart"/>
            <w:r>
              <w:t>ms</w:t>
            </w:r>
            <w:proofErr w:type="spellEnd"/>
            <w:r w:rsidRPr="00E23691">
              <w:t xml:space="preserve">. In this case with a PDB larger than the periodicity of </w:t>
            </w:r>
            <w:r w:rsidR="00036EB2">
              <w:t xml:space="preserve">data </w:t>
            </w:r>
            <w:r w:rsidRPr="00E23691">
              <w:t xml:space="preserve">burst arrivals, there will be typically more than a single </w:t>
            </w:r>
            <w:r w:rsidR="00036EB2">
              <w:t xml:space="preserve">data </w:t>
            </w:r>
            <w:r w:rsidRPr="00E23691">
              <w:t xml:space="preserve">burst to be </w:t>
            </w:r>
            <w:r w:rsidR="00036EB2">
              <w:t>transferred</w:t>
            </w:r>
            <w:r w:rsidRPr="00E23691">
              <w:t xml:space="preserve"> by the RAN within the 5G-AN PDB.</w:t>
            </w:r>
            <w:r w:rsidR="00036EB2">
              <w:t xml:space="preserve"> A RAN implementation following the standardized requirements will however have resources available for only data burst. </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ut the CN-PDB is not known to the AF and it would be too complicated to transfer the CN-PDB to the AF (due to its dependency on the 5QI and the deployment specifics). Furthermore, for some AFs it may also not be possible to change the logic of how to derive the burst size (</w:t>
            </w:r>
            <w:proofErr w:type="gramStart"/>
            <w:r w:rsidR="00AD686D">
              <w:t>e.g.</w:t>
            </w:r>
            <w:proofErr w:type="gramEnd"/>
            <w:r w:rsidR="00AD686D">
              <w:t xml:space="preserve">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3C6DD9D6"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sidR="00406333">
              <w:rPr>
                <w:lang w:eastAsia="zh-CN"/>
              </w:rPr>
              <w:t xml:space="preserve">describe this situation in a note </w:t>
            </w:r>
            <w:r w:rsidR="00E302D2">
              <w:rPr>
                <w:lang w:eastAsia="zh-CN"/>
              </w:rPr>
              <w:t>in order</w:t>
            </w:r>
            <w:r w:rsidR="00406333">
              <w:rPr>
                <w:lang w:eastAsia="zh-CN"/>
              </w:rPr>
              <w:t xml:space="preserve"> to highlight the consequences</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79976" w14:textId="651FA5D8" w:rsidR="001E41F3" w:rsidRDefault="00036EB2">
            <w:pPr>
              <w:pStyle w:val="CRCoverPage"/>
              <w:spacing w:after="0"/>
              <w:ind w:left="100"/>
            </w:pPr>
            <w:r>
              <w:t xml:space="preserve">Addition of a note describing the problem of supporting a QoS Flow with a </w:t>
            </w:r>
            <w:r w:rsidRPr="00E23691">
              <w:t xml:space="preserve">periodicity </w:t>
            </w:r>
            <w:r w:rsidR="001F5613" w:rsidRPr="00E23691">
              <w:t xml:space="preserve">of </w:t>
            </w:r>
            <w:r w:rsidR="001F5613">
              <w:t xml:space="preserve">data </w:t>
            </w:r>
            <w:r w:rsidR="001F5613" w:rsidRPr="00E23691">
              <w:t>burst arrivals</w:t>
            </w:r>
            <w:r w:rsidR="001F5613">
              <w:t xml:space="preserve"> </w:t>
            </w:r>
            <w:r>
              <w:t>that is smaller than the AN-PDB.</w:t>
            </w:r>
          </w:p>
          <w:p w14:paraId="31C656EC" w14:textId="7503A142" w:rsidR="00036EB2" w:rsidRDefault="00036EB2">
            <w:pPr>
              <w:pStyle w:val="CRCoverPage"/>
              <w:spacing w:after="0"/>
              <w:ind w:left="100"/>
            </w:pPr>
            <w:r>
              <w:t>In addition, some statements are reworded to better describe the usage of the MDBV by application and RAN</w:t>
            </w:r>
            <w:r w:rsidR="001F5613">
              <w:t xml:space="preserve"> as well as to explain the term data burst in this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87D42" w:rsidR="001E41F3" w:rsidRDefault="003C1950">
            <w:pPr>
              <w:pStyle w:val="CRCoverPage"/>
              <w:spacing w:after="0"/>
              <w:ind w:left="100"/>
            </w:pPr>
            <w:r>
              <w:t>The scenario is not described in which the</w:t>
            </w:r>
            <w:r w:rsidR="001F5613">
              <w:t xml:space="preserve"> RAN </w:t>
            </w:r>
            <w:proofErr w:type="spellStart"/>
            <w:r>
              <w:t>fulfills</w:t>
            </w:r>
            <w:proofErr w:type="spellEnd"/>
            <w:r>
              <w:t xml:space="preserve"> the standardized requirements for PDB and MDBV but </w:t>
            </w:r>
            <w:r w:rsidR="001F5613">
              <w:rPr>
                <w:lang w:eastAsia="zh-CN"/>
              </w:rPr>
              <w:t xml:space="preserve">data </w:t>
            </w:r>
            <w:r w:rsidR="005F3230">
              <w:rPr>
                <w:lang w:eastAsia="zh-CN"/>
              </w:rPr>
              <w:t>burst arrive</w:t>
            </w:r>
            <w:r>
              <w:rPr>
                <w:lang w:eastAsia="zh-CN"/>
              </w:rPr>
              <w:t xml:space="preserve"> too quickly and thus, </w:t>
            </w:r>
            <w:r>
              <w:rPr>
                <w:lang w:eastAsia="zh-CN"/>
              </w:rPr>
              <w:lastRenderedPageBreak/>
              <w:t>the</w:t>
            </w:r>
            <w:r w:rsidR="005F3230">
              <w:rPr>
                <w:lang w:eastAsia="zh-CN"/>
              </w:rPr>
              <w:t xml:space="preserve"> accepted QoS requirements </w:t>
            </w:r>
            <w:r>
              <w:rPr>
                <w:lang w:eastAsia="zh-CN"/>
              </w:rPr>
              <w:t>of the application cannot be fulfilled (even though the application traffic is in conformance with the GFBR</w:t>
            </w:r>
            <w:r w:rsidR="005F3230">
              <w:rPr>
                <w:lang w:eastAsia="zh-CN"/>
              </w:rPr>
              <w:t>).</w:t>
            </w:r>
            <w:r>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EA2F4" w:rsidR="001E41F3" w:rsidRDefault="00753056">
            <w:pPr>
              <w:pStyle w:val="CRCoverPage"/>
              <w:spacing w:after="0"/>
              <w:ind w:left="100"/>
              <w:rPr>
                <w:noProof/>
              </w:rPr>
            </w:pPr>
            <w:r>
              <w:t>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F395E88" w14:textId="77777777" w:rsidR="002B4DE8" w:rsidRPr="001B7C50" w:rsidRDefault="002B4DE8" w:rsidP="002B4DE8">
      <w:pPr>
        <w:pStyle w:val="Heading4"/>
      </w:pPr>
      <w:bookmarkStart w:id="1" w:name="_Toc185599680"/>
      <w:bookmarkStart w:id="2" w:name="_Toc20149819"/>
      <w:bookmarkStart w:id="3" w:name="_Toc27846613"/>
      <w:bookmarkStart w:id="4" w:name="_Toc36187741"/>
      <w:bookmarkStart w:id="5" w:name="_Toc45183645"/>
      <w:bookmarkStart w:id="6" w:name="_Toc47342487"/>
      <w:bookmarkStart w:id="7" w:name="_Toc51769187"/>
      <w:bookmarkStart w:id="8" w:name="_Toc170193910"/>
      <w:r w:rsidRPr="001B7C50">
        <w:t>5.7.3.7</w:t>
      </w:r>
      <w:r w:rsidRPr="001B7C50">
        <w:tab/>
        <w:t>Maximum Data Burst Volume</w:t>
      </w:r>
      <w:bookmarkEnd w:id="1"/>
    </w:p>
    <w:p w14:paraId="46EC59FA" w14:textId="5EDF6745" w:rsidR="002B4DE8" w:rsidRPr="001B7C50" w:rsidRDefault="002B4DE8" w:rsidP="002B4DE8">
      <w:r w:rsidRPr="001B7C50">
        <w:t>Each GBR QoS Flow with Delay-critical resource type shall be associated with a Maximum Data Burst Volume (MDBV)</w:t>
      </w:r>
      <w:ins w:id="9" w:author="Huawei1" w:date="2025-01-14T11:22:00Z">
        <w:r w:rsidRPr="002B4DE8">
          <w:t xml:space="preserve"> </w:t>
        </w:r>
        <w:r>
          <w:t xml:space="preserve">which denotes the size of the largest expected data burst, </w:t>
        </w:r>
        <w:proofErr w:type="gramStart"/>
        <w:r>
          <w:t>i.e.</w:t>
        </w:r>
        <w:proofErr w:type="gramEnd"/>
        <w:r>
          <w:t xml:space="preserve"> the amount of data for the largest expected </w:t>
        </w:r>
        <w:r w:rsidRPr="00972E70">
          <w:t xml:space="preserve">set of multiple PDUs </w:t>
        </w:r>
        <w:r>
          <w:t xml:space="preserve">that are </w:t>
        </w:r>
        <w:r w:rsidRPr="00972E70">
          <w:t>generated and sent by the application in a short period of time</w:t>
        </w:r>
      </w:ins>
      <w:r w:rsidRPr="001B7C50">
        <w:t>.</w:t>
      </w:r>
    </w:p>
    <w:p w14:paraId="7444AC1A" w14:textId="2CB85C38" w:rsidR="002B4DE8" w:rsidRPr="001B7C50" w:rsidDel="002B4DE8" w:rsidRDefault="002B4DE8" w:rsidP="002B4DE8">
      <w:pPr>
        <w:rPr>
          <w:del w:id="10" w:author="Huawei1" w:date="2025-01-14T11:22:00Z"/>
        </w:rPr>
      </w:pPr>
      <w:del w:id="11" w:author="Huawei1" w:date="2025-01-14T11:22:00Z">
        <w:r w:rsidRPr="001B7C50" w:rsidDel="002B4DE8">
          <w:delText>MDBV denotes the largest amount of data that the 5G-AN is required to serve within a period of 5G-AN PDB.</w:delText>
        </w:r>
      </w:del>
    </w:p>
    <w:p w14:paraId="098B4AF3" w14:textId="77777777" w:rsidR="002B4DE8" w:rsidRPr="001B7C50" w:rsidRDefault="002B4DE8" w:rsidP="002B4DE8">
      <w:r w:rsidRPr="001B7C50">
        <w:t>Every standardized 5QI (of Delay-critical GBR resource type) is associated with a default value for the MDBV (specified in QoS characteristics Table 5.7.4.1). The MDBV may also be signalled together with a standardized 5QI to the (R)AN</w:t>
      </w:r>
      <w:r>
        <w:t xml:space="preserve"> and</w:t>
      </w:r>
      <w:r w:rsidRPr="001B7C50">
        <w:t xml:space="preserve"> if it is received, it shall be used instead of the default value.</w:t>
      </w:r>
    </w:p>
    <w:p w14:paraId="3FC6F62A" w14:textId="77777777" w:rsidR="002B4DE8" w:rsidRPr="001B7C50" w:rsidRDefault="002B4DE8" w:rsidP="002B4DE8">
      <w:r w:rsidRPr="001B7C50">
        <w:t>The MDBV may also be signalled together with a pre-configured 5QI to the (R)AN</w:t>
      </w:r>
      <w:r>
        <w:t xml:space="preserve"> and</w:t>
      </w:r>
      <w:r w:rsidRPr="001B7C50">
        <w:t xml:space="preserve"> if it is received, it shall be used instead of the pre-configured value.</w:t>
      </w:r>
    </w:p>
    <w:p w14:paraId="7FC3FE76" w14:textId="77777777" w:rsidR="002B4DE8" w:rsidRPr="001B7C50" w:rsidRDefault="002B4DE8" w:rsidP="002B4DE8">
      <w:pPr>
        <w:rPr>
          <w:ins w:id="12" w:author="Huawei1" w:date="2025-01-14T11:23:00Z"/>
        </w:rPr>
      </w:pPr>
      <w:ins w:id="13" w:author="Huawei1" w:date="2025-01-14T11:23:00Z">
        <w:r>
          <w:t>The (</w:t>
        </w:r>
        <w:r>
          <w:rPr>
            <w:noProof/>
          </w:rPr>
          <w:t>R)AN</w:t>
        </w:r>
        <w:r>
          <w:t xml:space="preserve"> applies the </w:t>
        </w:r>
        <w:r w:rsidRPr="001B7C50">
          <w:t xml:space="preserve">MDBV </w:t>
        </w:r>
        <w:r>
          <w:t>to derive</w:t>
        </w:r>
        <w:r w:rsidRPr="001B7C50">
          <w:t xml:space="preserve"> the largest amount of data that the </w:t>
        </w:r>
        <w:r>
          <w:t>(R)</w:t>
        </w:r>
        <w:r w:rsidRPr="001B7C50">
          <w:t>AN is required to serve within a period of 5G-AN PDB</w:t>
        </w:r>
        <w:r>
          <w:t xml:space="preserve"> (see clause 5.7.3.4)</w:t>
        </w:r>
        <w:r w:rsidRPr="001B7C50">
          <w:t>.</w:t>
        </w:r>
      </w:ins>
    </w:p>
    <w:p w14:paraId="1D05F260" w14:textId="77777777" w:rsidR="002B4DE8" w:rsidRDefault="002B4DE8" w:rsidP="002B4DE8">
      <w:pPr>
        <w:pStyle w:val="NO"/>
        <w:rPr>
          <w:ins w:id="14" w:author="Huawei1" w:date="2025-01-14T11:23:00Z"/>
        </w:rPr>
      </w:pPr>
      <w:ins w:id="15" w:author="Huawei1" w:date="2025-01-14T11:23:00Z">
        <w:r>
          <w:t>NOTE:</w:t>
        </w:r>
        <w:r>
          <w:tab/>
        </w:r>
        <w:r>
          <w:rPr>
            <w:rFonts w:hint="eastAsia"/>
            <w:noProof/>
            <w:lang w:eastAsia="zh-CN"/>
          </w:rPr>
          <w:t>If</w:t>
        </w:r>
        <w:r>
          <w:rPr>
            <w:noProof/>
          </w:rPr>
          <w:t xml:space="preserve"> Perodicity is signalled to (R)AN (i.e. in TSCAI as described in clause 5.27) and </w:t>
        </w:r>
        <w:r w:rsidRPr="005A6618">
          <w:rPr>
            <w:noProof/>
          </w:rPr>
          <w:t xml:space="preserve">the </w:t>
        </w:r>
        <w:r>
          <w:rPr>
            <w:noProof/>
          </w:rPr>
          <w:t>P</w:t>
        </w:r>
        <w:r w:rsidRPr="005A6618">
          <w:rPr>
            <w:noProof/>
          </w:rPr>
          <w:t xml:space="preserve">eriodicity is smaller than </w:t>
        </w:r>
        <w:r>
          <w:rPr>
            <w:noProof/>
          </w:rPr>
          <w:t>5G-AN PDB</w:t>
        </w:r>
        <w:r>
          <w:t xml:space="preserve">, more than one data burst can arrive within </w:t>
        </w:r>
        <w:r w:rsidRPr="001B7C50">
          <w:t>a period of 5G-AN PDB</w:t>
        </w:r>
        <w:r>
          <w:t xml:space="preserve"> while the (</w:t>
        </w:r>
        <w:r>
          <w:rPr>
            <w:noProof/>
          </w:rPr>
          <w:t>R)AN</w:t>
        </w:r>
        <w:r>
          <w:t xml:space="preserve"> may not be able to transfer more than one data burst for this QoS Flow.</w:t>
        </w:r>
        <w:r w:rsidRPr="00A40125">
          <w:t xml:space="preserve"> </w:t>
        </w:r>
        <w:r>
          <w:t xml:space="preserve">In order to avoid this, the (R)AN could derive the largest amount of data that the (R)AN </w:t>
        </w:r>
        <w:r w:rsidRPr="001B7C50">
          <w:t>is required to serve within a period of 5G-AN PDB</w:t>
        </w:r>
        <w:r>
          <w:t xml:space="preserve"> under consideration of the maximum number of data bursts that could arrive within a period of 5G-AN PDB according to the indicated periodicity.</w:t>
        </w:r>
        <w:r w:rsidRPr="00FA4CD5">
          <w:rPr>
            <w:color w:val="FF0000"/>
          </w:rPr>
          <w:t xml:space="preserve"> </w:t>
        </w:r>
      </w:ins>
    </w:p>
    <w:bookmarkEnd w:id="2"/>
    <w:bookmarkEnd w:id="3"/>
    <w:bookmarkEnd w:id="4"/>
    <w:bookmarkEnd w:id="5"/>
    <w:bookmarkEnd w:id="6"/>
    <w:bookmarkEnd w:id="7"/>
    <w:bookmarkEnd w:id="8"/>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1E8E1" w14:textId="77777777" w:rsidR="008D4ADA" w:rsidRDefault="008D4ADA">
      <w:r>
        <w:separator/>
      </w:r>
    </w:p>
  </w:endnote>
  <w:endnote w:type="continuationSeparator" w:id="0">
    <w:p w14:paraId="5F2F3E40" w14:textId="77777777" w:rsidR="008D4ADA" w:rsidRDefault="008D4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FA95" w14:textId="77777777" w:rsidR="008D4ADA" w:rsidRDefault="008D4ADA">
      <w:r>
        <w:separator/>
      </w:r>
    </w:p>
  </w:footnote>
  <w:footnote w:type="continuationSeparator" w:id="0">
    <w:p w14:paraId="68B29794" w14:textId="77777777" w:rsidR="008D4ADA" w:rsidRDefault="008D4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124DC"/>
    <w:rsid w:val="00022E4A"/>
    <w:rsid w:val="00036EB2"/>
    <w:rsid w:val="00070E09"/>
    <w:rsid w:val="00083F7B"/>
    <w:rsid w:val="000A6394"/>
    <w:rsid w:val="000B7FC2"/>
    <w:rsid w:val="000B7FED"/>
    <w:rsid w:val="000C038A"/>
    <w:rsid w:val="000C6598"/>
    <w:rsid w:val="000D1394"/>
    <w:rsid w:val="000D44B3"/>
    <w:rsid w:val="000D7BDC"/>
    <w:rsid w:val="000E2CE6"/>
    <w:rsid w:val="00145D43"/>
    <w:rsid w:val="001602C4"/>
    <w:rsid w:val="00170B2B"/>
    <w:rsid w:val="00192C46"/>
    <w:rsid w:val="001A08B3"/>
    <w:rsid w:val="001A7B60"/>
    <w:rsid w:val="001B52F0"/>
    <w:rsid w:val="001B7A65"/>
    <w:rsid w:val="001C199C"/>
    <w:rsid w:val="001E41F3"/>
    <w:rsid w:val="001F5613"/>
    <w:rsid w:val="002169D0"/>
    <w:rsid w:val="00253184"/>
    <w:rsid w:val="0026004D"/>
    <w:rsid w:val="002640DD"/>
    <w:rsid w:val="00275D12"/>
    <w:rsid w:val="00284FEB"/>
    <w:rsid w:val="002860C4"/>
    <w:rsid w:val="00287FE7"/>
    <w:rsid w:val="0029242C"/>
    <w:rsid w:val="002B4DE8"/>
    <w:rsid w:val="002B5741"/>
    <w:rsid w:val="002E472E"/>
    <w:rsid w:val="00304B45"/>
    <w:rsid w:val="00305409"/>
    <w:rsid w:val="00307F7B"/>
    <w:rsid w:val="0032368E"/>
    <w:rsid w:val="0034501E"/>
    <w:rsid w:val="00345F57"/>
    <w:rsid w:val="00357A44"/>
    <w:rsid w:val="003609EF"/>
    <w:rsid w:val="0036231A"/>
    <w:rsid w:val="00374DD4"/>
    <w:rsid w:val="003A7F81"/>
    <w:rsid w:val="003C1950"/>
    <w:rsid w:val="003C7DCD"/>
    <w:rsid w:val="003E1A36"/>
    <w:rsid w:val="003E5C64"/>
    <w:rsid w:val="003F06F1"/>
    <w:rsid w:val="003F5404"/>
    <w:rsid w:val="004006F2"/>
    <w:rsid w:val="00406333"/>
    <w:rsid w:val="00410371"/>
    <w:rsid w:val="0041057F"/>
    <w:rsid w:val="004242F1"/>
    <w:rsid w:val="004B75B7"/>
    <w:rsid w:val="004D525E"/>
    <w:rsid w:val="004E76A2"/>
    <w:rsid w:val="00511E25"/>
    <w:rsid w:val="005141D9"/>
    <w:rsid w:val="00515717"/>
    <w:rsid w:val="0051580D"/>
    <w:rsid w:val="00547111"/>
    <w:rsid w:val="0059064B"/>
    <w:rsid w:val="00592D74"/>
    <w:rsid w:val="005A6618"/>
    <w:rsid w:val="005C1AE0"/>
    <w:rsid w:val="005E2C44"/>
    <w:rsid w:val="005F3230"/>
    <w:rsid w:val="00621188"/>
    <w:rsid w:val="00624647"/>
    <w:rsid w:val="006257ED"/>
    <w:rsid w:val="00630AA9"/>
    <w:rsid w:val="00653DE4"/>
    <w:rsid w:val="00665C47"/>
    <w:rsid w:val="00695808"/>
    <w:rsid w:val="006A37B6"/>
    <w:rsid w:val="006B31EC"/>
    <w:rsid w:val="006B46FB"/>
    <w:rsid w:val="006C68B4"/>
    <w:rsid w:val="006D0AE8"/>
    <w:rsid w:val="006E21FB"/>
    <w:rsid w:val="00742DF6"/>
    <w:rsid w:val="00753056"/>
    <w:rsid w:val="00764DA8"/>
    <w:rsid w:val="00767294"/>
    <w:rsid w:val="007828E4"/>
    <w:rsid w:val="007919A3"/>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65898"/>
    <w:rsid w:val="00870EE7"/>
    <w:rsid w:val="008863B9"/>
    <w:rsid w:val="00897B70"/>
    <w:rsid w:val="008A45A6"/>
    <w:rsid w:val="008A494E"/>
    <w:rsid w:val="008B059A"/>
    <w:rsid w:val="008D08BD"/>
    <w:rsid w:val="008D3CCC"/>
    <w:rsid w:val="008D4ADA"/>
    <w:rsid w:val="008D4F6E"/>
    <w:rsid w:val="008D78B0"/>
    <w:rsid w:val="008F3789"/>
    <w:rsid w:val="008F43DA"/>
    <w:rsid w:val="008F686C"/>
    <w:rsid w:val="00907951"/>
    <w:rsid w:val="009148DE"/>
    <w:rsid w:val="00941E30"/>
    <w:rsid w:val="009531B0"/>
    <w:rsid w:val="009649FB"/>
    <w:rsid w:val="009741B3"/>
    <w:rsid w:val="009777D9"/>
    <w:rsid w:val="00987FE3"/>
    <w:rsid w:val="00991B88"/>
    <w:rsid w:val="00993CAE"/>
    <w:rsid w:val="009A5753"/>
    <w:rsid w:val="009A579D"/>
    <w:rsid w:val="009B5FC2"/>
    <w:rsid w:val="009E3297"/>
    <w:rsid w:val="009F0059"/>
    <w:rsid w:val="009F38D3"/>
    <w:rsid w:val="009F734F"/>
    <w:rsid w:val="00A246B6"/>
    <w:rsid w:val="00A40125"/>
    <w:rsid w:val="00A47E70"/>
    <w:rsid w:val="00A50CF0"/>
    <w:rsid w:val="00A57F22"/>
    <w:rsid w:val="00A71D2D"/>
    <w:rsid w:val="00A7671C"/>
    <w:rsid w:val="00A85017"/>
    <w:rsid w:val="00A97E00"/>
    <w:rsid w:val="00AA2CBC"/>
    <w:rsid w:val="00AB3CE6"/>
    <w:rsid w:val="00AC5820"/>
    <w:rsid w:val="00AD1CD8"/>
    <w:rsid w:val="00AD686D"/>
    <w:rsid w:val="00B172D4"/>
    <w:rsid w:val="00B258BB"/>
    <w:rsid w:val="00B32C3C"/>
    <w:rsid w:val="00B67B97"/>
    <w:rsid w:val="00B7517A"/>
    <w:rsid w:val="00B756AE"/>
    <w:rsid w:val="00B85FC3"/>
    <w:rsid w:val="00B968C8"/>
    <w:rsid w:val="00BA3EC5"/>
    <w:rsid w:val="00BA51D9"/>
    <w:rsid w:val="00BB59A2"/>
    <w:rsid w:val="00BB5DFC"/>
    <w:rsid w:val="00BC6A85"/>
    <w:rsid w:val="00BD279D"/>
    <w:rsid w:val="00BD6BB8"/>
    <w:rsid w:val="00BE2A8E"/>
    <w:rsid w:val="00C00F80"/>
    <w:rsid w:val="00C415A3"/>
    <w:rsid w:val="00C66BA2"/>
    <w:rsid w:val="00C870F6"/>
    <w:rsid w:val="00C95985"/>
    <w:rsid w:val="00C96536"/>
    <w:rsid w:val="00CA2972"/>
    <w:rsid w:val="00CA6447"/>
    <w:rsid w:val="00CB10DB"/>
    <w:rsid w:val="00CC5026"/>
    <w:rsid w:val="00CC68D0"/>
    <w:rsid w:val="00D03F9A"/>
    <w:rsid w:val="00D06D51"/>
    <w:rsid w:val="00D170B6"/>
    <w:rsid w:val="00D24991"/>
    <w:rsid w:val="00D25537"/>
    <w:rsid w:val="00D50255"/>
    <w:rsid w:val="00D66520"/>
    <w:rsid w:val="00D84AE9"/>
    <w:rsid w:val="00D9124E"/>
    <w:rsid w:val="00DE34CF"/>
    <w:rsid w:val="00E063A2"/>
    <w:rsid w:val="00E13F3D"/>
    <w:rsid w:val="00E23691"/>
    <w:rsid w:val="00E302D2"/>
    <w:rsid w:val="00E34898"/>
    <w:rsid w:val="00E515A4"/>
    <w:rsid w:val="00E71123"/>
    <w:rsid w:val="00E844A8"/>
    <w:rsid w:val="00E91148"/>
    <w:rsid w:val="00EB09B7"/>
    <w:rsid w:val="00ED6EC0"/>
    <w:rsid w:val="00EE5EE1"/>
    <w:rsid w:val="00EE7D7C"/>
    <w:rsid w:val="00EF38B4"/>
    <w:rsid w:val="00F14C60"/>
    <w:rsid w:val="00F25D98"/>
    <w:rsid w:val="00F300FB"/>
    <w:rsid w:val="00F42DDF"/>
    <w:rsid w:val="00F73B27"/>
    <w:rsid w:val="00F73DDB"/>
    <w:rsid w:val="00F927FE"/>
    <w:rsid w:val="00FA30A1"/>
    <w:rsid w:val="00FA4CD5"/>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203F-B6E6-4316-A680-6B179D253A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1900-01-01T06:00:00Z</cp:lastPrinted>
  <dcterms:created xsi:type="dcterms:W3CDTF">2025-01-14T14:58:00Z</dcterms:created>
  <dcterms:modified xsi:type="dcterms:W3CDTF">2025-01-14T14:59:00Z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